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施工降效计算案例分析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某工程合同工期为600天,根据投标文件及施工组织设计,混凝土拌和系统计划生产混凝土总量6.0万m³，混凝土高峰月浇筑强度0.8万m³，配置一座HZS75拌和站(设计产出为75m³/h，折旧费85元/h),计划于2011年4月1日具备生产条件，2012年10月1日退场;拟计划投入6m³混凝土搅拌运输车 (折旧费24元/h) 8台,计划于2011年4月1日进场，并计划 2012年10月1日退场,拌合站计划运营时间为540天;拌合站 计划人工安排为:一天两班14h，月工作25天工作制、每班30人 (含运输车驾驶员)：即总人数为60人;由于业主征地手续尚未全部完成,承包人2011年4月1日按合同要求进场后，只能进行临建及部分项目的施工，不能全面展开工作，直至2011年10月1日，业主征地完成，项目进入全面施工阶段。在2011年4月1日-2011年10月1日期间总共完成混凝土拌和6000m³承包方认为人员及机械降效严重，要求业主对拌和站进行补偿。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合同约定：人员窝工按38元/工日计,不计税金(3.28%)以外的费用;机械台班窝工费按台班(8h)折旧费补偿，不计税金(3.28%) 以外的费用。经发包方审核,在2011年4月1日一2011年10月1日期间承包方在拌和站总共每天投入人员24人,6m³混凝土搅拌运输车2台。降效索赔如下：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1、机械设备降效费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(1)拌和站降效补偿费。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拌和站计划运营时间为540天，因此计划功效(即每台班工作台时)为：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lastRenderedPageBreak/>
        <w:t>Gjh</w:t>
      </w:r>
      <w:proofErr w:type="spellEnd"/>
      <w:r>
        <w:rPr>
          <w:rFonts w:ascii="微软雅黑" w:eastAsia="微软雅黑" w:hAnsi="微软雅黑" w:hint="eastAsia"/>
          <w:color w:val="222222"/>
        </w:rPr>
        <w:t>=60000/540/75=1.48台时/台班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在2011年4月1日-2011年10月1日期间(180天)拌和站的实际功效(即每工日工作台时)：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t>Gsj</w:t>
      </w:r>
      <w:proofErr w:type="spellEnd"/>
      <w:r>
        <w:rPr>
          <w:rFonts w:ascii="微软雅黑" w:eastAsia="微软雅黑" w:hAnsi="微软雅黑" w:hint="eastAsia"/>
          <w:color w:val="222222"/>
        </w:rPr>
        <w:t>=6000/180/75=0.44台时/台班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因此在2011年4月1日-2011年10月1日期间(180天)功效降低补偿费应为：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t>Fjx</w:t>
      </w:r>
      <w:proofErr w:type="spellEnd"/>
      <w:r>
        <w:rPr>
          <w:rFonts w:ascii="微软雅黑" w:eastAsia="微软雅黑" w:hAnsi="微软雅黑" w:hint="eastAsia"/>
          <w:color w:val="222222"/>
        </w:rPr>
        <w:t>=(1.48-0.44)×180×85×1.0328=16433.91元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(2)搅拌运输车降效补偿费。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按拌和站运营时间(540天)计算搅拌运输车的计划功效(即每台班工作台时)：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t>Gsj</w:t>
      </w:r>
      <w:proofErr w:type="spellEnd"/>
      <w:r>
        <w:rPr>
          <w:rFonts w:ascii="微软雅黑" w:eastAsia="微软雅黑" w:hAnsi="微软雅黑" w:hint="eastAsia"/>
          <w:color w:val="222222"/>
        </w:rPr>
        <w:t>=6000/540/8=13.89m³/台班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在2011年4月1日-2011年10月1日期间(180天)搅拌运输车的实际功效(即每台班工作台时)：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t>Gsj</w:t>
      </w:r>
      <w:proofErr w:type="spellEnd"/>
      <w:r>
        <w:rPr>
          <w:rFonts w:ascii="微软雅黑" w:eastAsia="微软雅黑" w:hAnsi="微软雅黑" w:hint="eastAsia"/>
          <w:color w:val="222222"/>
        </w:rPr>
        <w:t>=6000/180/2=16.67m³/台班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因此搅拌运输车实际功效大于合同计划功效，不存在降效，不应补偿。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2、人工降效费补偿费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r>
        <w:rPr>
          <w:rFonts w:ascii="微软雅黑" w:eastAsia="微软雅黑" w:hAnsi="微软雅黑" w:hint="eastAsia"/>
          <w:color w:val="222222"/>
        </w:rPr>
        <w:t>根据本文论述，拌合站人工属于人工配合机械，设备停止运转时认为工人也停止工作，因此，人工降效工日补偿等于设备降效台办补偿数量，即：</w:t>
      </w:r>
    </w:p>
    <w:p w:rsidR="00A80CE5" w:rsidRDefault="00A80CE5" w:rsidP="00A80CE5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222222"/>
        </w:rPr>
      </w:pPr>
      <w:proofErr w:type="spellStart"/>
      <w:r>
        <w:rPr>
          <w:rFonts w:ascii="微软雅黑" w:eastAsia="微软雅黑" w:hAnsi="微软雅黑" w:hint="eastAsia"/>
          <w:color w:val="222222"/>
        </w:rPr>
        <w:t>Fjx</w:t>
      </w:r>
      <w:proofErr w:type="spellEnd"/>
      <w:r>
        <w:rPr>
          <w:rFonts w:ascii="微软雅黑" w:eastAsia="微软雅黑" w:hAnsi="微软雅黑" w:hint="eastAsia"/>
          <w:color w:val="222222"/>
        </w:rPr>
        <w:t>=(1.48-0.44)×24×180×38/8×1.0328=21340.80</w:t>
      </w:r>
    </w:p>
    <w:p w:rsidR="00F16699" w:rsidRDefault="00F16699"/>
    <w:sectPr w:rsidR="00F16699" w:rsidSect="00A570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18F0"/>
    <w:multiLevelType w:val="multilevel"/>
    <w:tmpl w:val="5902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0CE5"/>
    <w:rsid w:val="004422F1"/>
    <w:rsid w:val="00503518"/>
    <w:rsid w:val="007A7C05"/>
    <w:rsid w:val="00A57081"/>
    <w:rsid w:val="00A80CE5"/>
    <w:rsid w:val="00F16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81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1669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uiPriority w:val="9"/>
    <w:qFormat/>
    <w:rsid w:val="00F1669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CE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F1669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F1669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owner">
    <w:name w:val="owner"/>
    <w:basedOn w:val="a"/>
    <w:rsid w:val="00F166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ilenumber">
    <w:name w:val="file_number"/>
    <w:basedOn w:val="a"/>
    <w:rsid w:val="00F166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o-who">
    <w:name w:val="to-who"/>
    <w:basedOn w:val="a"/>
    <w:rsid w:val="00F166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166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2020-03-20T08:05:00Z</dcterms:created>
  <dcterms:modified xsi:type="dcterms:W3CDTF">2020-03-26T05:56:00Z</dcterms:modified>
</cp:coreProperties>
</file>